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FA" w:rsidRPr="00F0020A" w:rsidRDefault="00A625FA" w:rsidP="00CA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b/>
          <w:bCs/>
          <w:sz w:val="20"/>
        </w:rPr>
        <w:t>LIFE KANTAURIBAI</w:t>
      </w:r>
      <w:r>
        <w:rPr>
          <w:rFonts w:ascii="Arial" w:hAnsi="Arial"/>
          <w:sz w:val="20"/>
        </w:rPr>
        <w:t xml:space="preserve"> est un projet européen dont l’</w:t>
      </w:r>
      <w:r>
        <w:rPr>
          <w:rFonts w:ascii="Arial" w:hAnsi="Arial"/>
          <w:b/>
          <w:bCs/>
          <w:sz w:val="20"/>
        </w:rPr>
        <w:t>objectif principal</w:t>
      </w:r>
      <w:r>
        <w:rPr>
          <w:rFonts w:ascii="Arial" w:hAnsi="Arial"/>
          <w:sz w:val="20"/>
        </w:rPr>
        <w:t xml:space="preserve"> est d’améliorer l’état de conservation des espèces et des habitats liés à l’écosystème fluvial, dans 15 </w:t>
      </w:r>
      <w:r w:rsidR="00E25F4F">
        <w:rPr>
          <w:rFonts w:ascii="Arial" w:hAnsi="Arial"/>
          <w:sz w:val="20"/>
        </w:rPr>
        <w:t>espaces</w:t>
      </w:r>
      <w:r>
        <w:rPr>
          <w:rFonts w:ascii="Arial" w:hAnsi="Arial"/>
          <w:sz w:val="20"/>
        </w:rPr>
        <w:t xml:space="preserve"> du Réseau </w:t>
      </w:r>
      <w:proofErr w:type="spellStart"/>
      <w:r>
        <w:rPr>
          <w:rFonts w:ascii="Arial" w:hAnsi="Arial"/>
          <w:sz w:val="20"/>
        </w:rPr>
        <w:t>Natura</w:t>
      </w:r>
      <w:proofErr w:type="spellEnd"/>
      <w:r>
        <w:rPr>
          <w:rFonts w:ascii="Arial" w:hAnsi="Arial"/>
          <w:sz w:val="20"/>
        </w:rPr>
        <w:t xml:space="preserve"> 2000, des fleuves et af</w:t>
      </w:r>
      <w:r w:rsidR="00E25F4F">
        <w:rPr>
          <w:rFonts w:ascii="Arial" w:hAnsi="Arial"/>
          <w:sz w:val="20"/>
        </w:rPr>
        <w:t>fluents qui se jettent dans le g</w:t>
      </w:r>
      <w:r>
        <w:rPr>
          <w:rFonts w:ascii="Arial" w:hAnsi="Arial"/>
          <w:sz w:val="20"/>
        </w:rPr>
        <w:t xml:space="preserve">olfe de Gascogne dans 5 bassins versants </w:t>
      </w:r>
      <w:r w:rsidR="00A609DA">
        <w:rPr>
          <w:rFonts w:ascii="Arial" w:hAnsi="Arial"/>
          <w:sz w:val="20"/>
        </w:rPr>
        <w:t xml:space="preserve">répartis sur 3 régions (Navarre, </w:t>
      </w:r>
      <w:proofErr w:type="spellStart"/>
      <w:r w:rsidR="00A609DA">
        <w:rPr>
          <w:rFonts w:ascii="Arial" w:hAnsi="Arial"/>
          <w:sz w:val="20"/>
        </w:rPr>
        <w:t>Guipuscoa</w:t>
      </w:r>
      <w:proofErr w:type="spellEnd"/>
      <w:r w:rsidR="00A609D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et Aquitaine).</w:t>
      </w:r>
    </w:p>
    <w:p w:rsidR="00A625FA" w:rsidRPr="00E52B3F" w:rsidRDefault="00A625FA" w:rsidP="00CA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B2F41" w:rsidRPr="00E52B3F" w:rsidRDefault="00AB2F41" w:rsidP="00CA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Objectifs spécifiques</w:t>
      </w:r>
    </w:p>
    <w:p w:rsidR="00376D74" w:rsidRPr="00E52B3F" w:rsidRDefault="00376D74" w:rsidP="00CA2A4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Améliorer l’état de conservation des habitats et espèces fluviaux d’intérêt communautaire des espaces </w:t>
      </w:r>
      <w:proofErr w:type="spellStart"/>
      <w:r>
        <w:rPr>
          <w:rFonts w:ascii="Arial" w:hAnsi="Arial"/>
          <w:sz w:val="20"/>
        </w:rPr>
        <w:t>Natura</w:t>
      </w:r>
      <w:proofErr w:type="spellEnd"/>
      <w:r>
        <w:rPr>
          <w:rFonts w:ascii="Arial" w:hAnsi="Arial"/>
          <w:sz w:val="20"/>
        </w:rPr>
        <w:t xml:space="preserve"> 2000.</w:t>
      </w:r>
    </w:p>
    <w:p w:rsidR="00376D74" w:rsidRPr="00E52B3F" w:rsidRDefault="00376D74" w:rsidP="00CA2A4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Renforcer les connaissances et la capacité d’intervention de manière coordonnée et conjointe. </w:t>
      </w:r>
    </w:p>
    <w:p w:rsidR="00376D74" w:rsidRPr="00E52B3F" w:rsidRDefault="00376D74" w:rsidP="00CA2A4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Communiquer les résultats au niveau local, régional et européen, aussi bien auprès de la société qu’aux Administrations, concessionnaires, chercheurs, experts et visiteurs de ces espaces.</w:t>
      </w:r>
    </w:p>
    <w:p w:rsidR="00663EE2" w:rsidRPr="00936D99" w:rsidRDefault="00376D74" w:rsidP="00663E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Sensibiliser la société et les agents impliqués aux bénéfices de nos fleuves et à la nécessité de les conserver, ainsi qu’à l’importance du Réseau </w:t>
      </w:r>
      <w:proofErr w:type="spellStart"/>
      <w:r>
        <w:rPr>
          <w:rFonts w:ascii="Arial" w:hAnsi="Arial"/>
          <w:sz w:val="20"/>
        </w:rPr>
        <w:t>Natura</w:t>
      </w:r>
      <w:proofErr w:type="spellEnd"/>
      <w:r>
        <w:rPr>
          <w:rFonts w:ascii="Arial" w:hAnsi="Arial"/>
          <w:sz w:val="20"/>
        </w:rPr>
        <w:t xml:space="preserve"> 2000 et des projets financés par les fonds LIFE de l’UE, comme KANTAURIBAI,</w:t>
      </w:r>
      <w:r w:rsidR="00E25F4F">
        <w:rPr>
          <w:rFonts w:ascii="Arial" w:hAnsi="Arial"/>
          <w:sz w:val="20"/>
        </w:rPr>
        <w:t xml:space="preserve"> afin d’y parvenir.</w:t>
      </w:r>
      <w:r>
        <w:rPr>
          <w:rFonts w:ascii="Arial" w:hAnsi="Arial"/>
          <w:sz w:val="20"/>
        </w:rPr>
        <w:t xml:space="preserve"> </w:t>
      </w:r>
    </w:p>
    <w:p w:rsidR="00376D74" w:rsidRPr="00E52B3F" w:rsidRDefault="00376D74" w:rsidP="00CA2A4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AB2F41" w:rsidRDefault="00AB2F41" w:rsidP="00CA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Actions à développer</w:t>
      </w:r>
    </w:p>
    <w:p w:rsidR="00E604D7" w:rsidRPr="0097410F" w:rsidRDefault="00F0020A" w:rsidP="0097410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</w:rPr>
        <w:t>Restauration et amélioration des habitats liés à l’écosystème fluvial : élimination et perméabilisation des obstacles et restaurat</w:t>
      </w:r>
      <w:r w:rsidR="00EE6178">
        <w:rPr>
          <w:rFonts w:ascii="Arial" w:hAnsi="Arial"/>
          <w:sz w:val="20"/>
        </w:rPr>
        <w:t>ion des aulnaies de Cantabrie.</w:t>
      </w:r>
    </w:p>
    <w:p w:rsidR="00E604D7" w:rsidRPr="00E604D7" w:rsidRDefault="00F0020A" w:rsidP="00E604D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</w:rPr>
        <w:t>Améliorati</w:t>
      </w:r>
      <w:r w:rsidR="00E25F4F">
        <w:rPr>
          <w:rFonts w:ascii="Arial" w:hAnsi="Arial"/>
          <w:sz w:val="20"/>
        </w:rPr>
        <w:t>on de l’état de conservation d’</w:t>
      </w:r>
      <w:r>
        <w:rPr>
          <w:rFonts w:ascii="Arial" w:hAnsi="Arial"/>
          <w:sz w:val="20"/>
        </w:rPr>
        <w:t xml:space="preserve">espèces de poissons migrateurs (saumon, anguille, alose, lamproie...). </w:t>
      </w:r>
    </w:p>
    <w:p w:rsidR="00663EE2" w:rsidRDefault="00F0020A" w:rsidP="00663EE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</w:rPr>
        <w:t>Amélioration de l’état de conservation de la moule d’eau douce (</w:t>
      </w:r>
      <w:commentRangeStart w:id="0"/>
      <w:proofErr w:type="spellStart"/>
      <w:r>
        <w:rPr>
          <w:rFonts w:ascii="Arial" w:hAnsi="Arial"/>
          <w:i/>
          <w:iCs/>
          <w:sz w:val="20"/>
        </w:rPr>
        <w:t>M</w:t>
      </w:r>
      <w:r w:rsidR="009465C1">
        <w:rPr>
          <w:rFonts w:ascii="Arial" w:hAnsi="Arial"/>
          <w:i/>
          <w:iCs/>
          <w:sz w:val="20"/>
        </w:rPr>
        <w:t>argariti</w:t>
      </w:r>
      <w:r>
        <w:rPr>
          <w:rFonts w:ascii="Arial" w:hAnsi="Arial"/>
          <w:i/>
          <w:iCs/>
          <w:sz w:val="20"/>
        </w:rPr>
        <w:t>fera</w:t>
      </w:r>
      <w:proofErr w:type="spellEnd"/>
      <w:r>
        <w:rPr>
          <w:rFonts w:ascii="Arial" w:hAnsi="Arial"/>
          <w:i/>
          <w:iCs/>
          <w:sz w:val="20"/>
        </w:rPr>
        <w:t xml:space="preserve"> </w:t>
      </w:r>
      <w:proofErr w:type="spellStart"/>
      <w:r>
        <w:rPr>
          <w:rFonts w:ascii="Arial" w:hAnsi="Arial"/>
          <w:i/>
          <w:iCs/>
          <w:sz w:val="20"/>
        </w:rPr>
        <w:t>margaritifera</w:t>
      </w:r>
      <w:commentRangeEnd w:id="0"/>
      <w:proofErr w:type="spellEnd"/>
      <w:r>
        <w:rPr>
          <w:rStyle w:val="Refdecomentario"/>
        </w:rPr>
        <w:commentReference w:id="0"/>
      </w:r>
      <w:r>
        <w:rPr>
          <w:rFonts w:ascii="Arial" w:hAnsi="Arial"/>
          <w:sz w:val="20"/>
        </w:rPr>
        <w:t>), du rat-trompette et du vison d’Europe</w:t>
      </w:r>
      <w:commentRangeStart w:id="1"/>
      <w:r>
        <w:rPr>
          <w:rFonts w:ascii="Arial" w:hAnsi="Arial"/>
          <w:sz w:val="20"/>
        </w:rPr>
        <w:t>.</w:t>
      </w:r>
      <w:commentRangeEnd w:id="1"/>
      <w:r>
        <w:rPr>
          <w:rStyle w:val="Refdecomentario"/>
        </w:rPr>
        <w:commentReference w:id="1"/>
      </w:r>
      <w:r>
        <w:rPr>
          <w:rFonts w:ascii="Arial" w:hAnsi="Arial"/>
          <w:sz w:val="20"/>
        </w:rPr>
        <w:t xml:space="preserve"> </w:t>
      </w:r>
    </w:p>
    <w:p w:rsidR="00E604D7" w:rsidRPr="00663EE2" w:rsidRDefault="00663EE2" w:rsidP="00663EE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</w:rPr>
        <w:t xml:space="preserve">Contrôle des espèces exotiques envahisseuses comme le vison d’Amérique, le ragondin, le rat musqué et plusieurs espèces de flore. </w:t>
      </w:r>
    </w:p>
    <w:p w:rsidR="00E604D7" w:rsidRPr="00E604D7" w:rsidRDefault="00F0020A" w:rsidP="00E604D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</w:rPr>
        <w:t>Suivi et évaluation</w:t>
      </w:r>
      <w:commentRangeStart w:id="2"/>
      <w:r>
        <w:rPr>
          <w:rFonts w:ascii="Arial" w:hAnsi="Arial"/>
          <w:sz w:val="20"/>
        </w:rPr>
        <w:t>.</w:t>
      </w:r>
      <w:commentRangeEnd w:id="2"/>
      <w:r>
        <w:rPr>
          <w:rStyle w:val="Refdecomentario"/>
        </w:rPr>
        <w:commentReference w:id="2"/>
      </w:r>
      <w:r>
        <w:rPr>
          <w:rFonts w:ascii="Arial" w:hAnsi="Arial"/>
          <w:sz w:val="20"/>
        </w:rPr>
        <w:t xml:space="preserve"> </w:t>
      </w:r>
    </w:p>
    <w:p w:rsidR="00E604D7" w:rsidRPr="00E604D7" w:rsidRDefault="00F0020A" w:rsidP="00E604D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</w:rPr>
        <w:t>Communication, diffusion, durabilité, réplication et exploitation des résultats.</w:t>
      </w:r>
    </w:p>
    <w:p w:rsidR="00E604D7" w:rsidRPr="00E52B3F" w:rsidRDefault="00E604D7" w:rsidP="00CA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B2F41" w:rsidRPr="00D50442" w:rsidRDefault="00AB2F41" w:rsidP="00CA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Résultats attendus</w:t>
      </w:r>
    </w:p>
    <w:p w:rsidR="006274D3" w:rsidRPr="00D50442" w:rsidRDefault="00E25F4F" w:rsidP="006274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Élimination de</w:t>
      </w:r>
      <w:r w:rsidR="00663EE2">
        <w:rPr>
          <w:rFonts w:ascii="Arial" w:hAnsi="Arial"/>
          <w:sz w:val="20"/>
        </w:rPr>
        <w:t xml:space="preserve"> 25 obstacles fluviaux et perméabilisation d’autres 7 obstacles pour</w:t>
      </w:r>
      <w:r>
        <w:rPr>
          <w:rFonts w:ascii="Arial" w:hAnsi="Arial"/>
          <w:sz w:val="20"/>
        </w:rPr>
        <w:t xml:space="preserve"> rendre possible</w:t>
      </w:r>
      <w:r w:rsidR="00663EE2">
        <w:rPr>
          <w:rFonts w:ascii="Arial" w:hAnsi="Arial"/>
          <w:sz w:val="20"/>
        </w:rPr>
        <w:t xml:space="preserve"> le passage des poissons dont l’élimination est actuellement impossible. </w:t>
      </w:r>
    </w:p>
    <w:p w:rsidR="00AE2ED9" w:rsidRPr="003D1724" w:rsidRDefault="00E25F4F" w:rsidP="00AE2ED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Réduction d’</w:t>
      </w:r>
      <w:r w:rsidR="00AE2ED9">
        <w:rPr>
          <w:rFonts w:ascii="Arial" w:hAnsi="Arial"/>
          <w:sz w:val="20"/>
        </w:rPr>
        <w:t xml:space="preserve">une des menaces majeures pour le saumon de l’Atlantique et d’autres espèces migratoire : la grande discontinuité fluviale. </w:t>
      </w:r>
    </w:p>
    <w:p w:rsidR="006274D3" w:rsidRPr="00D50442" w:rsidRDefault="00E25F4F" w:rsidP="006274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Installation de </w:t>
      </w:r>
      <w:r w:rsidR="006274D3">
        <w:rPr>
          <w:rFonts w:ascii="Arial" w:hAnsi="Arial"/>
          <w:sz w:val="20"/>
        </w:rPr>
        <w:t xml:space="preserve">systèmes de contrôle et de suivi automatisé des espèces de poissons migratoires qui permettent d’être activés avec la plus faible intervention humaine. </w:t>
      </w:r>
    </w:p>
    <w:p w:rsidR="006274D3" w:rsidRPr="00D50442" w:rsidRDefault="00E25F4F" w:rsidP="006274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Restauration de</w:t>
      </w:r>
      <w:r w:rsidR="006274D3">
        <w:rPr>
          <w:rFonts w:ascii="Arial" w:hAnsi="Arial"/>
          <w:sz w:val="20"/>
        </w:rPr>
        <w:t xml:space="preserve"> 100 ha d’aulnaies actuellement occupés par des espèces </w:t>
      </w:r>
      <w:r>
        <w:rPr>
          <w:rFonts w:ascii="Arial" w:hAnsi="Arial"/>
          <w:sz w:val="20"/>
        </w:rPr>
        <w:t>de flore exotique envahisseuse.</w:t>
      </w:r>
    </w:p>
    <w:p w:rsidR="00263BE3" w:rsidRPr="00D50442" w:rsidRDefault="00E25F4F" w:rsidP="00CA2A4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Augmentation</w:t>
      </w:r>
      <w:r w:rsidR="00D43650">
        <w:rPr>
          <w:rFonts w:ascii="Arial" w:hAnsi="Arial"/>
          <w:sz w:val="20"/>
        </w:rPr>
        <w:t xml:space="preserve"> de 10%</w:t>
      </w:r>
      <w:r>
        <w:rPr>
          <w:rFonts w:ascii="Arial" w:hAnsi="Arial"/>
          <w:sz w:val="20"/>
        </w:rPr>
        <w:t xml:space="preserve"> de</w:t>
      </w:r>
      <w:r w:rsidR="00D43650">
        <w:rPr>
          <w:rFonts w:ascii="Arial" w:hAnsi="Arial"/>
          <w:sz w:val="20"/>
        </w:rPr>
        <w:t xml:space="preserve"> la taille des populations de saumon, de 5% </w:t>
      </w:r>
      <w:r>
        <w:rPr>
          <w:rFonts w:ascii="Arial" w:hAnsi="Arial"/>
          <w:sz w:val="20"/>
        </w:rPr>
        <w:t xml:space="preserve">de </w:t>
      </w:r>
      <w:r w:rsidR="00D43650">
        <w:rPr>
          <w:rFonts w:ascii="Arial" w:hAnsi="Arial"/>
          <w:sz w:val="20"/>
        </w:rPr>
        <w:t xml:space="preserve">celles des </w:t>
      </w:r>
      <w:commentRangeStart w:id="3"/>
      <w:proofErr w:type="spellStart"/>
      <w:r w:rsidR="00D43650">
        <w:rPr>
          <w:rFonts w:ascii="Arial" w:hAnsi="Arial"/>
          <w:i/>
          <w:iCs/>
          <w:sz w:val="20"/>
        </w:rPr>
        <w:t>Margaritifera</w:t>
      </w:r>
      <w:proofErr w:type="spellEnd"/>
      <w:r w:rsidR="00D43650">
        <w:rPr>
          <w:rFonts w:ascii="Arial" w:hAnsi="Arial"/>
          <w:i/>
          <w:iCs/>
          <w:sz w:val="20"/>
        </w:rPr>
        <w:t xml:space="preserve"> </w:t>
      </w:r>
      <w:proofErr w:type="spellStart"/>
      <w:r w:rsidR="00D43650">
        <w:rPr>
          <w:rFonts w:ascii="Arial" w:hAnsi="Arial"/>
          <w:i/>
          <w:iCs/>
          <w:sz w:val="20"/>
        </w:rPr>
        <w:t>margaritifera</w:t>
      </w:r>
      <w:commentRangeEnd w:id="3"/>
      <w:proofErr w:type="spellEnd"/>
      <w:r w:rsidR="00D43650">
        <w:rPr>
          <w:rStyle w:val="Refdecomentario"/>
        </w:rPr>
        <w:commentReference w:id="3"/>
      </w:r>
      <w:r w:rsidR="00D43650">
        <w:rPr>
          <w:rFonts w:ascii="Arial" w:hAnsi="Arial"/>
          <w:sz w:val="20"/>
        </w:rPr>
        <w:t>, et de 10%</w:t>
      </w:r>
      <w:r>
        <w:rPr>
          <w:rFonts w:ascii="Arial" w:hAnsi="Arial"/>
          <w:sz w:val="20"/>
        </w:rPr>
        <w:t xml:space="preserve"> de</w:t>
      </w:r>
      <w:r w:rsidR="00D43650">
        <w:rPr>
          <w:rFonts w:ascii="Arial" w:hAnsi="Arial"/>
          <w:sz w:val="20"/>
        </w:rPr>
        <w:t xml:space="preserve"> celles des visons</w:t>
      </w:r>
      <w:r>
        <w:rPr>
          <w:rFonts w:ascii="Arial" w:hAnsi="Arial"/>
          <w:sz w:val="20"/>
        </w:rPr>
        <w:t xml:space="preserve"> d’Europe et des rat-trompettes.</w:t>
      </w:r>
      <w:r w:rsidR="00D43650">
        <w:rPr>
          <w:rFonts w:ascii="Arial" w:hAnsi="Arial"/>
          <w:sz w:val="20"/>
        </w:rPr>
        <w:t xml:space="preserve"> </w:t>
      </w:r>
    </w:p>
    <w:p w:rsidR="00E52B3F" w:rsidRPr="00D50442" w:rsidRDefault="00E25F4F" w:rsidP="00CA2A4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Réduction de 90% des populations d’</w:t>
      </w:r>
      <w:r w:rsidR="00263BE3">
        <w:rPr>
          <w:rFonts w:ascii="Arial" w:hAnsi="Arial"/>
          <w:sz w:val="20"/>
        </w:rPr>
        <w:t xml:space="preserve">espèces exotiques envahisseuses comme celles du vison d’Amérique, du ragondin et du rat musqué. </w:t>
      </w:r>
    </w:p>
    <w:p w:rsidR="00E604D7" w:rsidRPr="00D50442" w:rsidRDefault="00E25F4F" w:rsidP="00CA2A4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Publication d’</w:t>
      </w:r>
      <w:r w:rsidR="00263BE3">
        <w:rPr>
          <w:rFonts w:ascii="Arial" w:hAnsi="Arial"/>
          <w:sz w:val="20"/>
        </w:rPr>
        <w:t>un guide pratique afin de réduire l’impact des barrages des centrales hydroélectriques sur la migration des poissons.</w:t>
      </w:r>
    </w:p>
    <w:p w:rsidR="00936D99" w:rsidRDefault="00E25F4F" w:rsidP="00936D9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Création d’</w:t>
      </w:r>
      <w:r w:rsidR="00E604D7">
        <w:rPr>
          <w:rFonts w:ascii="Arial" w:hAnsi="Arial"/>
          <w:sz w:val="20"/>
        </w:rPr>
        <w:t>un groupe de travail permettant la coordination internationale du bassin de la Bidassoa pour la gestion et le suivi des espèces de poissons migrateurs.</w:t>
      </w:r>
    </w:p>
    <w:p w:rsidR="00663EE2" w:rsidRPr="00663EE2" w:rsidRDefault="00663EE2" w:rsidP="00663EE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663EE2" w:rsidRDefault="00663EE2">
      <w:pPr>
        <w:rPr>
          <w:rFonts w:ascii="Arial" w:hAnsi="Arial" w:cs="Arial"/>
          <w:b/>
          <w:bCs/>
          <w:sz w:val="20"/>
          <w:szCs w:val="20"/>
        </w:rPr>
      </w:pPr>
      <w:r>
        <w:br w:type="page"/>
      </w:r>
    </w:p>
    <w:p w:rsidR="00AB2F41" w:rsidRPr="00E52B3F" w:rsidRDefault="00AB2F41" w:rsidP="00CA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Fiche résumé du Projet</w:t>
      </w:r>
    </w:p>
    <w:p w:rsidR="00DE06D1" w:rsidRPr="00272C9A" w:rsidRDefault="00DE06D1" w:rsidP="00CA2A4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LIFE21-NAT-ES-LIFE KANTAURIBAI (101074197) </w:t>
      </w:r>
    </w:p>
    <w:p w:rsidR="00AB2F41" w:rsidRPr="00E52B3F" w:rsidRDefault="00AB2F41" w:rsidP="00CA2A4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Budget total : 10 858 333,71 €.</w:t>
      </w:r>
    </w:p>
    <w:p w:rsidR="00AB2F41" w:rsidRPr="00E52B3F" w:rsidRDefault="00AB2F41" w:rsidP="00CA2A4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Financement LIFE : 6 514 995,00€ (60%)</w:t>
      </w:r>
    </w:p>
    <w:p w:rsidR="00AB2F41" w:rsidRPr="00E52B3F" w:rsidRDefault="00A625FA" w:rsidP="00CA2A4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Durée : 60 mois (octobre 2022 à septembre 2027).</w:t>
      </w:r>
    </w:p>
    <w:p w:rsidR="00AB2F41" w:rsidRPr="00E52B3F" w:rsidRDefault="00AB2F41" w:rsidP="00CA2A4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Directives liées : Directive habitats. Directive-Cadre sur l’Eau.</w:t>
      </w:r>
    </w:p>
    <w:p w:rsidR="00AB2F41" w:rsidRPr="00E52B3F" w:rsidRDefault="00AB2F41" w:rsidP="00CA2A4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Domaine d’activité : 5 bassins versants sur 3 régions appartenant à 2 pays (Espagne et France) : Oria et </w:t>
      </w:r>
      <w:proofErr w:type="spellStart"/>
      <w:r>
        <w:rPr>
          <w:rFonts w:ascii="Arial" w:hAnsi="Arial"/>
          <w:sz w:val="20"/>
        </w:rPr>
        <w:t>Urumea</w:t>
      </w:r>
      <w:proofErr w:type="spellEnd"/>
      <w:r>
        <w:rPr>
          <w:rFonts w:ascii="Arial" w:hAnsi="Arial"/>
          <w:sz w:val="20"/>
        </w:rPr>
        <w:t xml:space="preserve"> (Navarre et </w:t>
      </w:r>
      <w:proofErr w:type="spellStart"/>
      <w:r>
        <w:rPr>
          <w:rFonts w:ascii="Arial" w:hAnsi="Arial"/>
          <w:sz w:val="20"/>
        </w:rPr>
        <w:t>Gipuzkoa</w:t>
      </w:r>
      <w:proofErr w:type="spellEnd"/>
      <w:r>
        <w:rPr>
          <w:rFonts w:ascii="Arial" w:hAnsi="Arial"/>
          <w:sz w:val="20"/>
        </w:rPr>
        <w:t xml:space="preserve">), </w:t>
      </w:r>
      <w:commentRangeStart w:id="4"/>
      <w:r>
        <w:rPr>
          <w:rFonts w:ascii="Arial" w:hAnsi="Arial"/>
          <w:sz w:val="20"/>
        </w:rPr>
        <w:t xml:space="preserve">la Nive et la </w:t>
      </w:r>
      <w:commentRangeEnd w:id="4"/>
      <w:r w:rsidR="00AE11E8">
        <w:rPr>
          <w:rStyle w:val="Refdecomentario"/>
        </w:rPr>
        <w:commentReference w:id="4"/>
      </w:r>
      <w:r>
        <w:rPr>
          <w:rFonts w:ascii="Arial" w:hAnsi="Arial"/>
          <w:sz w:val="20"/>
        </w:rPr>
        <w:t>Nivelle (Navarre et Aquitaine) et Bidassoa (répartie sur les 3 régions).</w:t>
      </w:r>
    </w:p>
    <w:p w:rsidR="00A625FA" w:rsidRPr="00E52B3F" w:rsidRDefault="00A625FA" w:rsidP="00A62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25FA" w:rsidRDefault="00A625FA" w:rsidP="00A62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63EE2" w:rsidRDefault="00663EE2" w:rsidP="00A62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63EE2" w:rsidRDefault="00663EE2" w:rsidP="00A62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63EE2" w:rsidRDefault="00663EE2" w:rsidP="00A62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63EE2" w:rsidRPr="00E52B3F" w:rsidRDefault="00663EE2" w:rsidP="00A62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2F41" w:rsidRPr="00E52B3F" w:rsidRDefault="00AB2F41" w:rsidP="00AB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PARTENAIRES</w:t>
      </w:r>
    </w:p>
    <w:tbl>
      <w:tblPr>
        <w:tblStyle w:val="Tablaconcuadrcula"/>
        <w:tblW w:w="9587" w:type="dxa"/>
        <w:tblInd w:w="-431" w:type="dxa"/>
        <w:tblLook w:val="04A0" w:firstRow="1" w:lastRow="0" w:firstColumn="1" w:lastColumn="0" w:noHBand="0" w:noVBand="1"/>
      </w:tblPr>
      <w:tblGrid>
        <w:gridCol w:w="1650"/>
        <w:gridCol w:w="8168"/>
      </w:tblGrid>
      <w:tr w:rsidR="00293D93" w:rsidRPr="00E52B3F" w:rsidTr="00376D74">
        <w:trPr>
          <w:trHeight w:val="315"/>
        </w:trPr>
        <w:tc>
          <w:tcPr>
            <w:tcW w:w="1419" w:type="dxa"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GAN-NIK</w:t>
            </w:r>
          </w:p>
        </w:tc>
        <w:tc>
          <w:tcPr>
            <w:tcW w:w="8168" w:type="dxa"/>
            <w:noWrap/>
            <w:hideMark/>
          </w:tcPr>
          <w:p w:rsidR="00293D93" w:rsidRPr="00E52B3F" w:rsidRDefault="00AE11E8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GESTIÓ</w:t>
            </w:r>
            <w:r w:rsidR="00293D93">
              <w:rPr>
                <w:rFonts w:ascii="Arial" w:hAnsi="Arial"/>
                <w:color w:val="000000"/>
                <w:sz w:val="20"/>
              </w:rPr>
              <w:t>N AMBIENTAL DE NAVARRA S.A. (Coordinateur)</w:t>
            </w:r>
          </w:p>
        </w:tc>
      </w:tr>
      <w:tr w:rsidR="00293D93" w:rsidRPr="00E52B3F" w:rsidTr="00376D74">
        <w:trPr>
          <w:trHeight w:val="315"/>
        </w:trPr>
        <w:tc>
          <w:tcPr>
            <w:tcW w:w="1419" w:type="dxa"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CHC</w:t>
            </w:r>
          </w:p>
        </w:tc>
        <w:tc>
          <w:tcPr>
            <w:tcW w:w="8168" w:type="dxa"/>
            <w:noWrap/>
            <w:hideMark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CONFEDERACIÓN HIDROGRAFICA DEL CANTABRICO</w:t>
            </w:r>
          </w:p>
        </w:tc>
      </w:tr>
      <w:tr w:rsidR="00293D93" w:rsidRPr="00E52B3F" w:rsidTr="00376D74">
        <w:trPr>
          <w:trHeight w:val="315"/>
        </w:trPr>
        <w:tc>
          <w:tcPr>
            <w:tcW w:w="1419" w:type="dxa"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DFG-GFA</w:t>
            </w:r>
          </w:p>
        </w:tc>
        <w:tc>
          <w:tcPr>
            <w:tcW w:w="8168" w:type="dxa"/>
            <w:noWrap/>
            <w:hideMark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DÉPUTATION FORALE DE GIPUZKOA</w:t>
            </w:r>
          </w:p>
        </w:tc>
      </w:tr>
      <w:tr w:rsidR="00293D93" w:rsidRPr="00EE6178" w:rsidTr="00376D74">
        <w:trPr>
          <w:trHeight w:val="315"/>
        </w:trPr>
        <w:tc>
          <w:tcPr>
            <w:tcW w:w="1419" w:type="dxa"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URA</w:t>
            </w:r>
          </w:p>
        </w:tc>
        <w:tc>
          <w:tcPr>
            <w:tcW w:w="8168" w:type="dxa"/>
            <w:noWrap/>
            <w:hideMark/>
          </w:tcPr>
          <w:p w:rsidR="00293D93" w:rsidRPr="00E25F4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25F4F">
              <w:rPr>
                <w:rFonts w:ascii="Arial" w:hAnsi="Arial"/>
                <w:color w:val="000000"/>
                <w:sz w:val="20"/>
                <w:lang w:val="es-ES"/>
              </w:rPr>
              <w:t>AGENCIA VASCA DEL AGUA- UR AGENTZIA</w:t>
            </w:r>
          </w:p>
        </w:tc>
      </w:tr>
      <w:tr w:rsidR="00293D93" w:rsidRPr="00EE6178" w:rsidTr="00376D74">
        <w:trPr>
          <w:trHeight w:val="315"/>
        </w:trPr>
        <w:tc>
          <w:tcPr>
            <w:tcW w:w="1419" w:type="dxa"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ADS</w:t>
            </w:r>
          </w:p>
        </w:tc>
        <w:tc>
          <w:tcPr>
            <w:tcW w:w="8168" w:type="dxa"/>
            <w:noWrap/>
            <w:hideMark/>
          </w:tcPr>
          <w:p w:rsidR="00293D93" w:rsidRPr="00EE6178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EE6178">
              <w:rPr>
                <w:rFonts w:ascii="Arial" w:hAnsi="Arial"/>
                <w:color w:val="000000"/>
                <w:sz w:val="20"/>
                <w:lang w:val="it-IT"/>
              </w:rPr>
              <w:t xml:space="preserve">MAIRIE DE DONOSTIA SAN </w:t>
            </w:r>
            <w:commentRangeStart w:id="5"/>
            <w:r w:rsidRPr="00EE6178">
              <w:rPr>
                <w:rFonts w:ascii="Arial" w:hAnsi="Arial"/>
                <w:color w:val="000000"/>
                <w:sz w:val="20"/>
                <w:lang w:val="it-IT"/>
              </w:rPr>
              <w:t>SEBASTIÁN</w:t>
            </w:r>
            <w:commentRangeEnd w:id="5"/>
            <w:r>
              <w:rPr>
                <w:rStyle w:val="Refdecomentario"/>
              </w:rPr>
              <w:commentReference w:id="5"/>
            </w:r>
          </w:p>
        </w:tc>
      </w:tr>
      <w:tr w:rsidR="00293D93" w:rsidRPr="00595FE6" w:rsidTr="00376D74">
        <w:trPr>
          <w:trHeight w:val="315"/>
        </w:trPr>
        <w:tc>
          <w:tcPr>
            <w:tcW w:w="1419" w:type="dxa"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ERRENNTERIA</w:t>
            </w:r>
          </w:p>
        </w:tc>
        <w:tc>
          <w:tcPr>
            <w:tcW w:w="8168" w:type="dxa"/>
            <w:noWrap/>
            <w:hideMark/>
          </w:tcPr>
          <w:p w:rsidR="00293D93" w:rsidRPr="00E25F4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25F4F">
              <w:rPr>
                <w:rFonts w:ascii="Arial" w:hAnsi="Arial"/>
                <w:color w:val="000000"/>
                <w:sz w:val="20"/>
                <w:lang w:val="es-ES"/>
              </w:rPr>
              <w:t xml:space="preserve">MAIRIE DE </w:t>
            </w:r>
            <w:commentRangeStart w:id="6"/>
            <w:r w:rsidRPr="00E25F4F">
              <w:rPr>
                <w:rFonts w:ascii="Arial" w:hAnsi="Arial"/>
                <w:color w:val="000000"/>
                <w:sz w:val="20"/>
                <w:lang w:val="es-ES"/>
              </w:rPr>
              <w:t>RENTERÍA</w:t>
            </w:r>
            <w:commentRangeEnd w:id="6"/>
            <w:r>
              <w:rPr>
                <w:rStyle w:val="Refdecomentario"/>
              </w:rPr>
              <w:commentReference w:id="6"/>
            </w:r>
            <w:r w:rsidRPr="00E25F4F">
              <w:rPr>
                <w:rFonts w:ascii="Arial" w:hAnsi="Arial"/>
                <w:color w:val="000000"/>
                <w:sz w:val="20"/>
                <w:lang w:val="es-ES"/>
              </w:rPr>
              <w:t>/ERRENTERIAKO UDALA</w:t>
            </w:r>
          </w:p>
        </w:tc>
      </w:tr>
      <w:tr w:rsidR="00293D93" w:rsidRPr="00E52B3F" w:rsidTr="00376D74">
        <w:trPr>
          <w:trHeight w:val="315"/>
        </w:trPr>
        <w:tc>
          <w:tcPr>
            <w:tcW w:w="1419" w:type="dxa"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IBERDROLA</w:t>
            </w:r>
          </w:p>
        </w:tc>
        <w:tc>
          <w:tcPr>
            <w:tcW w:w="8168" w:type="dxa"/>
            <w:noWrap/>
            <w:hideMark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IBERDROLA GENERACIÓN S.A.</w:t>
            </w:r>
          </w:p>
        </w:tc>
      </w:tr>
      <w:tr w:rsidR="00293D93" w:rsidRPr="00595FE6" w:rsidTr="00376D74">
        <w:trPr>
          <w:trHeight w:val="315"/>
        </w:trPr>
        <w:tc>
          <w:tcPr>
            <w:tcW w:w="1419" w:type="dxa"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ITAGRA -</w:t>
            </w:r>
          </w:p>
        </w:tc>
        <w:tc>
          <w:tcPr>
            <w:tcW w:w="8168" w:type="dxa"/>
            <w:noWrap/>
            <w:hideMark/>
          </w:tcPr>
          <w:p w:rsidR="00293D93" w:rsidRPr="00E25F4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E25F4F">
              <w:rPr>
                <w:rFonts w:ascii="Arial" w:hAnsi="Arial"/>
                <w:color w:val="000000"/>
                <w:sz w:val="20"/>
                <w:lang w:val="es-ES"/>
              </w:rPr>
              <w:t>CENTRO TECNOLOGICO AGRARIO Y AGROALIMENTARIO</w:t>
            </w:r>
          </w:p>
        </w:tc>
      </w:tr>
      <w:tr w:rsidR="00293D93" w:rsidRPr="007366E2" w:rsidTr="00376D74">
        <w:trPr>
          <w:trHeight w:val="315"/>
        </w:trPr>
        <w:tc>
          <w:tcPr>
            <w:tcW w:w="1419" w:type="dxa"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CEN NA</w:t>
            </w:r>
          </w:p>
        </w:tc>
        <w:tc>
          <w:tcPr>
            <w:tcW w:w="8168" w:type="dxa"/>
            <w:noWrap/>
            <w:hideMark/>
          </w:tcPr>
          <w:p w:rsidR="00293D93" w:rsidRPr="007366E2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CONSERVATOIRE </w:t>
            </w:r>
            <w:commentRangeStart w:id="7"/>
            <w:r>
              <w:rPr>
                <w:rFonts w:ascii="Arial" w:hAnsi="Arial"/>
                <w:color w:val="000000"/>
                <w:sz w:val="20"/>
              </w:rPr>
              <w:t>D’ESPACES</w:t>
            </w:r>
            <w:commentRangeEnd w:id="7"/>
            <w:r>
              <w:rPr>
                <w:rStyle w:val="Refdecomentario"/>
              </w:rPr>
              <w:commentReference w:id="7"/>
            </w:r>
            <w:r>
              <w:rPr>
                <w:rFonts w:ascii="Arial" w:hAnsi="Arial"/>
                <w:color w:val="000000"/>
                <w:sz w:val="20"/>
              </w:rPr>
              <w:t xml:space="preserve"> NATURELS DE NOUVELLE-AQUITAINE</w:t>
            </w:r>
          </w:p>
        </w:tc>
      </w:tr>
      <w:tr w:rsidR="00293D93" w:rsidRPr="00E52B3F" w:rsidTr="00376D74">
        <w:trPr>
          <w:trHeight w:val="315"/>
        </w:trPr>
        <w:tc>
          <w:tcPr>
            <w:tcW w:w="1419" w:type="dxa"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GREGE</w:t>
            </w:r>
          </w:p>
        </w:tc>
        <w:tc>
          <w:tcPr>
            <w:tcW w:w="8168" w:type="dxa"/>
            <w:noWrap/>
            <w:hideMark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commentRangeStart w:id="8"/>
            <w:r>
              <w:rPr>
                <w:rFonts w:ascii="Arial" w:hAnsi="Arial"/>
                <w:color w:val="000000"/>
                <w:sz w:val="20"/>
              </w:rPr>
              <w:t>GROUPE DE RECHERCHE ET D’ÉTUDE POUR LA GESTION DE L’ENVIRONNEMEN</w:t>
            </w:r>
            <w:commentRangeEnd w:id="8"/>
            <w:r>
              <w:rPr>
                <w:rStyle w:val="Refdecomentario"/>
              </w:rPr>
              <w:commentReference w:id="8"/>
            </w:r>
            <w:r>
              <w:rPr>
                <w:rFonts w:ascii="Arial" w:hAnsi="Arial"/>
                <w:color w:val="000000"/>
                <w:sz w:val="20"/>
              </w:rPr>
              <w:t>T</w:t>
            </w:r>
          </w:p>
        </w:tc>
      </w:tr>
      <w:tr w:rsidR="00293D93" w:rsidRPr="00E52B3F" w:rsidTr="00376D74">
        <w:trPr>
          <w:trHeight w:val="315"/>
        </w:trPr>
        <w:tc>
          <w:tcPr>
            <w:tcW w:w="1419" w:type="dxa"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INRAE</w:t>
            </w:r>
          </w:p>
        </w:tc>
        <w:tc>
          <w:tcPr>
            <w:tcW w:w="8168" w:type="dxa"/>
            <w:noWrap/>
            <w:hideMark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INSTITUT NATIONAL DE RECHERCHE POUR L’AGRICULTURE, L’ALIMENTATION ET L’ENVIRONNEMENT</w:t>
            </w:r>
            <w:bookmarkStart w:id="9" w:name="_GoBack"/>
            <w:bookmarkEnd w:id="9"/>
          </w:p>
        </w:tc>
      </w:tr>
      <w:tr w:rsidR="00293D93" w:rsidRPr="00E52B3F" w:rsidTr="00376D74">
        <w:trPr>
          <w:trHeight w:val="315"/>
        </w:trPr>
        <w:tc>
          <w:tcPr>
            <w:tcW w:w="1419" w:type="dxa"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SCIMABIO</w:t>
            </w:r>
          </w:p>
        </w:tc>
        <w:tc>
          <w:tcPr>
            <w:tcW w:w="8168" w:type="dxa"/>
            <w:noWrap/>
            <w:hideMark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SCIMABIO INTERFACE</w:t>
            </w:r>
          </w:p>
        </w:tc>
      </w:tr>
      <w:tr w:rsidR="00293D93" w:rsidRPr="00E52B3F" w:rsidTr="00376D74">
        <w:trPr>
          <w:trHeight w:val="315"/>
        </w:trPr>
        <w:tc>
          <w:tcPr>
            <w:tcW w:w="1419" w:type="dxa"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EFE</w:t>
            </w:r>
          </w:p>
        </w:tc>
        <w:tc>
          <w:tcPr>
            <w:tcW w:w="8168" w:type="dxa"/>
            <w:noWrap/>
            <w:hideMark/>
          </w:tcPr>
          <w:p w:rsidR="00293D93" w:rsidRPr="00E52B3F" w:rsidRDefault="00293D93" w:rsidP="00EE61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AGENCE EFE SAU S.M.E.</w:t>
            </w:r>
          </w:p>
        </w:tc>
      </w:tr>
    </w:tbl>
    <w:p w:rsidR="00293D93" w:rsidRPr="00E52B3F" w:rsidRDefault="00293D93" w:rsidP="00AB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93D93" w:rsidRPr="00E52B3F" w:rsidRDefault="00293D93" w:rsidP="00AB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93D93" w:rsidRPr="00E52B3F" w:rsidRDefault="00293D93" w:rsidP="00293D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Entités associées : </w:t>
      </w:r>
    </w:p>
    <w:p w:rsidR="00293D93" w:rsidRPr="00E52B3F" w:rsidRDefault="00293D93" w:rsidP="00293D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GOUVERNEMENT DE NAVARRE</w:t>
      </w:r>
    </w:p>
    <w:p w:rsidR="00293D93" w:rsidRPr="00E52B3F" w:rsidRDefault="00293D93" w:rsidP="00293D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HERNANIKO UDALA-MAIRIE DE HERNANI</w:t>
      </w:r>
    </w:p>
    <w:p w:rsidR="00293D93" w:rsidRPr="00E52B3F" w:rsidRDefault="00293D93" w:rsidP="00293D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COMMUNAUTÉ D'AGGLOMÉRATION PAYS BASQUE</w:t>
      </w:r>
    </w:p>
    <w:p w:rsidR="00293D93" w:rsidRPr="00E52B3F" w:rsidRDefault="00293D93" w:rsidP="00293D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CPIE SEIGNANX ET ADOUR</w:t>
      </w:r>
    </w:p>
    <w:p w:rsidR="00293D93" w:rsidRPr="00E52B3F" w:rsidRDefault="00293D93" w:rsidP="00293D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FÉDÉRATION DES PYRÉNÉES-ATLANTIQUES POUR LA PÊCHE ET LA PROTECTION DU MILIEU AQUATIQUE</w:t>
      </w:r>
    </w:p>
    <w:p w:rsidR="00AB2F41" w:rsidRPr="00E52B3F" w:rsidRDefault="00AB2F41" w:rsidP="00293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AB2F41" w:rsidRPr="00E52B3F" w:rsidSect="00936D9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radufr" w:date="2023-02-03T12:58:00Z" w:initials="TR">
    <w:p w:rsidR="00595FE6" w:rsidRPr="00E25F4F" w:rsidRDefault="00595FE6" w:rsidP="00EE6178">
      <w:pPr>
        <w:pStyle w:val="Textocomentario"/>
        <w:rPr>
          <w:lang w:val="es-ES"/>
        </w:rPr>
      </w:pPr>
      <w:r>
        <w:rPr>
          <w:rStyle w:val="Refdecomentario"/>
        </w:rPr>
        <w:annotationRef/>
      </w:r>
      <w:r w:rsidR="00EE6178" w:rsidRPr="00EE6178">
        <w:rPr>
          <w:u w:val="single"/>
          <w:lang w:val="es-ES"/>
        </w:rPr>
        <w:t>Nota de T.:</w:t>
      </w:r>
      <w:r w:rsidR="00EE6178">
        <w:rPr>
          <w:lang w:val="es-ES"/>
        </w:rPr>
        <w:t xml:space="preserve"> como latinismo, lo incluimos en cursiva y sin la tilde. Lo destacamos por si consideraseis oportuno hacer alguna modificación en el original.</w:t>
      </w:r>
    </w:p>
  </w:comment>
  <w:comment w:id="1" w:author="tradufr" w:date="2023-02-03T12:59:00Z" w:initials="TR">
    <w:p w:rsidR="00595FE6" w:rsidRPr="00E25F4F" w:rsidRDefault="00595FE6" w:rsidP="00EE6178">
      <w:pPr>
        <w:pStyle w:val="Textocomentario"/>
        <w:rPr>
          <w:lang w:val="es-ES"/>
        </w:rPr>
      </w:pPr>
      <w:r>
        <w:rPr>
          <w:rStyle w:val="Refdecomentario"/>
        </w:rPr>
        <w:annotationRef/>
      </w:r>
      <w:r w:rsidR="00EE6178">
        <w:rPr>
          <w:lang w:val="es-ES"/>
        </w:rPr>
        <w:t>Añadimos punto final.</w:t>
      </w:r>
    </w:p>
  </w:comment>
  <w:comment w:id="2" w:author="tradufr" w:date="2023-02-03T12:59:00Z" w:initials="TR">
    <w:p w:rsidR="00595FE6" w:rsidRPr="00E25F4F" w:rsidRDefault="00595FE6" w:rsidP="00EE6178">
      <w:pPr>
        <w:pStyle w:val="Textocomentario"/>
        <w:rPr>
          <w:lang w:val="es-ES"/>
        </w:rPr>
      </w:pPr>
      <w:r>
        <w:rPr>
          <w:rStyle w:val="Refdecomentario"/>
        </w:rPr>
        <w:annotationRef/>
      </w:r>
      <w:r w:rsidR="00EE6178">
        <w:rPr>
          <w:lang w:val="es-ES"/>
        </w:rPr>
        <w:t>Añadimos punto final.</w:t>
      </w:r>
    </w:p>
  </w:comment>
  <w:comment w:id="3" w:author="tradufr" w:date="2023-02-03T12:59:00Z" w:initials="TR">
    <w:p w:rsidR="00595FE6" w:rsidRPr="00E25F4F" w:rsidRDefault="00595FE6" w:rsidP="00EE6178">
      <w:pPr>
        <w:pStyle w:val="Textocomentario"/>
        <w:rPr>
          <w:lang w:val="es-ES"/>
        </w:rPr>
      </w:pPr>
      <w:r>
        <w:rPr>
          <w:rStyle w:val="Refdecomentario"/>
        </w:rPr>
        <w:annotationRef/>
      </w:r>
      <w:r w:rsidR="00EE6178" w:rsidRPr="00EE6178">
        <w:rPr>
          <w:u w:val="single"/>
          <w:lang w:val="es-ES"/>
        </w:rPr>
        <w:t>Nota de T.:</w:t>
      </w:r>
      <w:r w:rsidR="00EE6178">
        <w:rPr>
          <w:lang w:val="es-ES"/>
        </w:rPr>
        <w:t xml:space="preserve"> como latinismo, lo incluimos en cursiva. Lo destacamos por si consideraseis oportuno hacer alguna modificación en el original.</w:t>
      </w:r>
    </w:p>
  </w:comment>
  <w:comment w:id="4" w:author="tradufr" w:date="2023-02-03T12:59:00Z" w:initials="t">
    <w:p w:rsidR="00595FE6" w:rsidRPr="00AE11E8" w:rsidRDefault="00595FE6" w:rsidP="00EE6178">
      <w:pPr>
        <w:pStyle w:val="Textocomentario"/>
        <w:rPr>
          <w:lang w:val="es-ES"/>
        </w:rPr>
      </w:pPr>
      <w:r>
        <w:rPr>
          <w:rStyle w:val="Refdecomentario"/>
        </w:rPr>
        <w:annotationRef/>
      </w:r>
      <w:r w:rsidR="00EE6178" w:rsidRPr="00EE6178">
        <w:rPr>
          <w:u w:val="single"/>
          <w:lang w:val="es-ES"/>
        </w:rPr>
        <w:t>Nota de T.:</w:t>
      </w:r>
      <w:r w:rsidR="00EE6178">
        <w:rPr>
          <w:lang w:val="es-ES"/>
        </w:rPr>
        <w:t xml:space="preserve"> recomendaríamos</w:t>
      </w:r>
      <w:r w:rsidRPr="00AE11E8">
        <w:rPr>
          <w:lang w:val="es-ES"/>
        </w:rPr>
        <w:t xml:space="preserve"> quitar las mayúsculas de los art</w:t>
      </w:r>
      <w:r>
        <w:rPr>
          <w:lang w:val="es-ES"/>
        </w:rPr>
        <w:t>ículos.</w:t>
      </w:r>
    </w:p>
  </w:comment>
  <w:comment w:id="5" w:author="tradufr" w:date="2023-02-03T13:02:00Z" w:initials="TR">
    <w:p w:rsidR="00595FE6" w:rsidRPr="00E25F4F" w:rsidRDefault="00595FE6" w:rsidP="00EE6178">
      <w:pPr>
        <w:pStyle w:val="Textocomentario"/>
        <w:rPr>
          <w:lang w:val="es-ES"/>
        </w:rPr>
      </w:pPr>
      <w:r>
        <w:rPr>
          <w:rStyle w:val="Refdecomentario"/>
        </w:rPr>
        <w:annotationRef/>
      </w:r>
      <w:r w:rsidR="00EE6178">
        <w:rPr>
          <w:u w:val="single"/>
          <w:lang w:val="es-ES"/>
        </w:rPr>
        <w:t>Nota de T.</w:t>
      </w:r>
      <w:r w:rsidRPr="00AE11E8">
        <w:rPr>
          <w:lang w:val="es-ES"/>
        </w:rPr>
        <w:t xml:space="preserve">: </w:t>
      </w:r>
      <w:r>
        <w:rPr>
          <w:lang w:val="es-ES"/>
        </w:rPr>
        <w:t xml:space="preserve">falta </w:t>
      </w:r>
      <w:r w:rsidR="00EE6178">
        <w:rPr>
          <w:lang w:val="es-ES"/>
        </w:rPr>
        <w:t>la</w:t>
      </w:r>
      <w:r>
        <w:rPr>
          <w:lang w:val="es-ES"/>
        </w:rPr>
        <w:t xml:space="preserve"> tilde en la </w:t>
      </w:r>
      <w:r w:rsidR="00EE6178">
        <w:rPr>
          <w:lang w:val="es-ES"/>
        </w:rPr>
        <w:t>“</w:t>
      </w:r>
      <w:r>
        <w:rPr>
          <w:lang w:val="es-ES"/>
        </w:rPr>
        <w:t>A</w:t>
      </w:r>
      <w:r w:rsidR="00EE6178">
        <w:rPr>
          <w:lang w:val="es-ES"/>
        </w:rPr>
        <w:t>”</w:t>
      </w:r>
      <w:r>
        <w:rPr>
          <w:lang w:val="es-ES"/>
        </w:rPr>
        <w:t>.</w:t>
      </w:r>
    </w:p>
  </w:comment>
  <w:comment w:id="6" w:author="tradufr" w:date="2023-02-03T13:03:00Z" w:initials="TR">
    <w:p w:rsidR="00595FE6" w:rsidRPr="00E25F4F" w:rsidRDefault="00595FE6" w:rsidP="00EE6178">
      <w:pPr>
        <w:pStyle w:val="Textocomentario"/>
        <w:rPr>
          <w:lang w:val="es-ES"/>
        </w:rPr>
      </w:pPr>
      <w:r>
        <w:rPr>
          <w:rStyle w:val="Refdecomentario"/>
        </w:rPr>
        <w:annotationRef/>
      </w:r>
      <w:r w:rsidR="00EE6178" w:rsidRPr="00EE6178">
        <w:rPr>
          <w:u w:val="single"/>
          <w:lang w:val="es-ES"/>
        </w:rPr>
        <w:t>Nota de T.:</w:t>
      </w:r>
      <w:r w:rsidRPr="00AE11E8">
        <w:rPr>
          <w:lang w:val="es-ES"/>
        </w:rPr>
        <w:t xml:space="preserve"> </w:t>
      </w:r>
      <w:r w:rsidR="00EE6178">
        <w:rPr>
          <w:lang w:val="es-ES"/>
        </w:rPr>
        <w:t>falta la tilde en la "I</w:t>
      </w:r>
      <w:r w:rsidRPr="00E25F4F">
        <w:rPr>
          <w:lang w:val="es-ES"/>
        </w:rPr>
        <w:t>"</w:t>
      </w:r>
      <w:r>
        <w:rPr>
          <w:lang w:val="es-ES"/>
        </w:rPr>
        <w:t>.</w:t>
      </w:r>
    </w:p>
  </w:comment>
  <w:comment w:id="7" w:author="tradufr" w:date="2023-02-03T13:03:00Z" w:initials="TR">
    <w:p w:rsidR="00595FE6" w:rsidRPr="00E25F4F" w:rsidRDefault="00595FE6" w:rsidP="00EE6178">
      <w:pPr>
        <w:pStyle w:val="Textocomentario"/>
        <w:rPr>
          <w:lang w:val="es-ES"/>
        </w:rPr>
      </w:pPr>
      <w:r>
        <w:rPr>
          <w:rStyle w:val="Refdecomentario"/>
        </w:rPr>
        <w:annotationRef/>
      </w:r>
      <w:r w:rsidR="00EE6178" w:rsidRPr="00EE6178">
        <w:rPr>
          <w:u w:val="single"/>
          <w:lang w:val="es-ES"/>
        </w:rPr>
        <w:t>Nota de T.:</w:t>
      </w:r>
      <w:r w:rsidR="00EE6178">
        <w:rPr>
          <w:lang w:val="es-ES"/>
        </w:rPr>
        <w:t xml:space="preserve"> error en el original</w:t>
      </w:r>
      <w:r w:rsidRPr="00E25F4F">
        <w:rPr>
          <w:lang w:val="es-ES"/>
        </w:rPr>
        <w:t xml:space="preserve"> </w:t>
      </w:r>
      <w:r w:rsidR="00EE6178">
        <w:rPr>
          <w:lang w:val="es-ES"/>
        </w:rPr>
        <w:t>(</w:t>
      </w:r>
      <w:r w:rsidRPr="00E25F4F">
        <w:rPr>
          <w:lang w:val="es-ES"/>
        </w:rPr>
        <w:t>con apóstrofe y sin tilde</w:t>
      </w:r>
      <w:r w:rsidR="00EE6178">
        <w:rPr>
          <w:lang w:val="es-ES"/>
        </w:rPr>
        <w:t>)</w:t>
      </w:r>
      <w:r>
        <w:rPr>
          <w:lang w:val="es-ES"/>
        </w:rPr>
        <w:t>.</w:t>
      </w:r>
    </w:p>
  </w:comment>
  <w:comment w:id="8" w:author="tradufr" w:date="2023-02-03T13:03:00Z" w:initials="TR">
    <w:p w:rsidR="00595FE6" w:rsidRPr="00E25F4F" w:rsidRDefault="00595FE6" w:rsidP="00EE6178">
      <w:pPr>
        <w:pStyle w:val="Textocomentario"/>
        <w:rPr>
          <w:lang w:val="es-ES"/>
        </w:rPr>
      </w:pPr>
      <w:r>
        <w:rPr>
          <w:rStyle w:val="Refdecomentario"/>
        </w:rPr>
        <w:annotationRef/>
      </w:r>
      <w:r w:rsidR="00EE6178" w:rsidRPr="00EE6178">
        <w:rPr>
          <w:u w:val="single"/>
          <w:lang w:val="es-ES"/>
        </w:rPr>
        <w:t>Nota de T.:</w:t>
      </w:r>
      <w:r w:rsidR="00EE6178">
        <w:rPr>
          <w:lang w:val="es-ES"/>
        </w:rPr>
        <w:t xml:space="preserve"> </w:t>
      </w:r>
      <w:r w:rsidRPr="00E25F4F">
        <w:rPr>
          <w:lang w:val="es-ES"/>
        </w:rPr>
        <w:t>volver a escribir el nombre, hay varias erratas</w:t>
      </w:r>
      <w:r>
        <w:rPr>
          <w:lang w:val="es-ES"/>
        </w:rPr>
        <w:t>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b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4DC5"/>
    <w:multiLevelType w:val="hybridMultilevel"/>
    <w:tmpl w:val="89946EE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266E36"/>
    <w:multiLevelType w:val="hybridMultilevel"/>
    <w:tmpl w:val="B688EE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AD625C"/>
    <w:multiLevelType w:val="hybridMultilevel"/>
    <w:tmpl w:val="3C46A2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B1B5B"/>
    <w:multiLevelType w:val="hybridMultilevel"/>
    <w:tmpl w:val="680AD3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37700F"/>
    <w:multiLevelType w:val="hybridMultilevel"/>
    <w:tmpl w:val="41A6EA82"/>
    <w:lvl w:ilvl="0" w:tplc="B614D49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A0FBF"/>
    <w:multiLevelType w:val="hybridMultilevel"/>
    <w:tmpl w:val="7E3A1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B2B17"/>
    <w:multiLevelType w:val="hybridMultilevel"/>
    <w:tmpl w:val="80465B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7B02E7"/>
    <w:multiLevelType w:val="hybridMultilevel"/>
    <w:tmpl w:val="941C9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50E68"/>
    <w:multiLevelType w:val="hybridMultilevel"/>
    <w:tmpl w:val="459E2238"/>
    <w:lvl w:ilvl="0" w:tplc="F1781A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A38D4"/>
    <w:multiLevelType w:val="hybridMultilevel"/>
    <w:tmpl w:val="BE52C1E2"/>
    <w:lvl w:ilvl="0" w:tplc="475E3CCC">
      <w:numFmt w:val="bullet"/>
      <w:lvlText w:val="-"/>
      <w:lvlJc w:val="left"/>
      <w:pPr>
        <w:ind w:left="360" w:hanging="360"/>
      </w:pPr>
      <w:rPr>
        <w:rFonts w:ascii="Cabin-Regular" w:eastAsiaTheme="minorHAnsi" w:hAnsi="Cabin-Regular" w:cs="Cabin-Regular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460A9F"/>
    <w:multiLevelType w:val="hybridMultilevel"/>
    <w:tmpl w:val="61C2CB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CD94504A">
      <w:numFmt w:val="bullet"/>
      <w:lvlText w:val="-"/>
      <w:lvlJc w:val="left"/>
      <w:pPr>
        <w:ind w:left="1425" w:hanging="705"/>
      </w:pPr>
      <w:rPr>
        <w:rFonts w:ascii="Calibri" w:eastAsia="Calibr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41"/>
    <w:rsid w:val="00072022"/>
    <w:rsid w:val="00263BE3"/>
    <w:rsid w:val="00272C9A"/>
    <w:rsid w:val="00293D93"/>
    <w:rsid w:val="002B1283"/>
    <w:rsid w:val="00331DEA"/>
    <w:rsid w:val="00372228"/>
    <w:rsid w:val="00376D74"/>
    <w:rsid w:val="003D1724"/>
    <w:rsid w:val="004B78E1"/>
    <w:rsid w:val="004F6D5C"/>
    <w:rsid w:val="00556962"/>
    <w:rsid w:val="00595FE6"/>
    <w:rsid w:val="006274D3"/>
    <w:rsid w:val="00663EE2"/>
    <w:rsid w:val="007366E2"/>
    <w:rsid w:val="00791D36"/>
    <w:rsid w:val="00936D99"/>
    <w:rsid w:val="009465C1"/>
    <w:rsid w:val="0097410F"/>
    <w:rsid w:val="009C7F1B"/>
    <w:rsid w:val="00A609DA"/>
    <w:rsid w:val="00A625FA"/>
    <w:rsid w:val="00AB2F41"/>
    <w:rsid w:val="00AE0289"/>
    <w:rsid w:val="00AE11E8"/>
    <w:rsid w:val="00AE2ED9"/>
    <w:rsid w:val="00B46A38"/>
    <w:rsid w:val="00B46D79"/>
    <w:rsid w:val="00B7197D"/>
    <w:rsid w:val="00C56506"/>
    <w:rsid w:val="00C73120"/>
    <w:rsid w:val="00CA2A42"/>
    <w:rsid w:val="00CA7CC9"/>
    <w:rsid w:val="00CF2913"/>
    <w:rsid w:val="00D30437"/>
    <w:rsid w:val="00D33C73"/>
    <w:rsid w:val="00D43650"/>
    <w:rsid w:val="00D50442"/>
    <w:rsid w:val="00DE06D1"/>
    <w:rsid w:val="00E25F4F"/>
    <w:rsid w:val="00E52B3F"/>
    <w:rsid w:val="00E604D7"/>
    <w:rsid w:val="00EE6178"/>
    <w:rsid w:val="00F0020A"/>
    <w:rsid w:val="00F0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128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3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293D93"/>
    <w:pPr>
      <w:spacing w:after="200" w:line="276" w:lineRule="auto"/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B1283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20A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04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4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4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128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3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293D93"/>
    <w:pPr>
      <w:spacing w:after="200" w:line="276" w:lineRule="auto"/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B1283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20A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04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4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4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DFCEB1AB98A940A0300D5CF2D9A269" ma:contentTypeVersion="13" ma:contentTypeDescription="Crear nuevo documento." ma:contentTypeScope="" ma:versionID="5a4b76a4d9ec8a081437f74d21011fd2">
  <xsd:schema xmlns:xsd="http://www.w3.org/2001/XMLSchema" xmlns:xs="http://www.w3.org/2001/XMLSchema" xmlns:p="http://schemas.microsoft.com/office/2006/metadata/properties" xmlns:ns2="00f2b433-224d-448e-abc4-c4335284b5c2" xmlns:ns3="26449c7b-d54d-4b01-ae35-34c8c28adb04" targetNamespace="http://schemas.microsoft.com/office/2006/metadata/properties" ma:root="true" ma:fieldsID="8eb158bcd6a3e1f29e700efa46d63f85" ns2:_="" ns3:_="">
    <xsd:import namespace="00f2b433-224d-448e-abc4-c4335284b5c2"/>
    <xsd:import namespace="26449c7b-d54d-4b01-ae35-34c8c28adb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2b433-224d-448e-abc4-c4335284b5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f6cc81d-c85b-4e27-95f2-513b544b176b}" ma:internalName="TaxCatchAll" ma:showField="CatchAllData" ma:web="00f2b433-224d-448e-abc4-c4335284b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49c7b-d54d-4b01-ae35-34c8c28ad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27c5b8c-ee03-43f0-9a13-4291b3678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EAB4D-EB6D-44B3-9CF0-4360724BF7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97991-34EE-4169-A8EA-15E5E30EA479}"/>
</file>

<file path=customXml/itemProps3.xml><?xml version="1.0" encoding="utf-8"?>
<ds:datastoreItem xmlns:ds="http://schemas.openxmlformats.org/officeDocument/2006/customXml" ds:itemID="{2080C96E-1246-4773-AB03-DAD6DB233D11}"/>
</file>

<file path=customXml/itemProps4.xml><?xml version="1.0" encoding="utf-8"?>
<ds:datastoreItem xmlns:ds="http://schemas.openxmlformats.org/officeDocument/2006/customXml" ds:itemID="{3592BB79-0757-4412-998B-E8E105FFC7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D153013</dc:creator>
  <cp:lastModifiedBy>gestion</cp:lastModifiedBy>
  <cp:revision>10</cp:revision>
  <dcterms:created xsi:type="dcterms:W3CDTF">2023-02-02T11:00:00Z</dcterms:created>
  <dcterms:modified xsi:type="dcterms:W3CDTF">2023-02-03T12:03:00Z</dcterms:modified>
</cp:coreProperties>
</file>